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6C" w:rsidRPr="00EC746C" w:rsidRDefault="00EC746C" w:rsidP="00EC746C">
      <w:pPr>
        <w:snapToGri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</w:pPr>
      <w:r w:rsidRPr="00EC746C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>Д</w:t>
      </w:r>
      <w:r w:rsidRPr="00EC746C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 xml:space="preserve">әріс </w:t>
      </w:r>
      <w:r w:rsidRPr="00EC746C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>2</w:t>
      </w:r>
    </w:p>
    <w:p w:rsidR="00EC746C" w:rsidRPr="00EC746C" w:rsidRDefault="00EC746C" w:rsidP="00EC746C">
      <w:pPr>
        <w:snapToGri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</w:pPr>
      <w:r w:rsidRPr="00EC746C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>Халықаралық гуманитарлық құқық және</w:t>
      </w:r>
    </w:p>
    <w:p w:rsidR="00EC746C" w:rsidRPr="00EC746C" w:rsidRDefault="00EC746C" w:rsidP="00EC746C">
      <w:pPr>
        <w:snapToGri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</w:pPr>
      <w:r w:rsidRPr="00EC746C">
        <w:rPr>
          <w:rFonts w:ascii="Times New Roman" w:eastAsia="Times New Roman" w:hAnsi="Times New Roman"/>
          <w:b/>
          <w:bCs/>
          <w:sz w:val="28"/>
          <w:szCs w:val="28"/>
          <w:lang w:val="kk-KZ" w:eastAsia="ar-SA"/>
        </w:rPr>
        <w:t>қарулы қақтығыстан қорғау және журналистика</w:t>
      </w:r>
    </w:p>
    <w:p w:rsidR="006C170B" w:rsidRPr="00EC746C" w:rsidRDefault="00EC746C" w:rsidP="00EC74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746C" w:rsidRPr="00EC746C" w:rsidRDefault="00EC746C" w:rsidP="00EC74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гуманитарлық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гуманитарлық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негіздерге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сүйене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қарулы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қақтығыстың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салдарын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азайтуға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бағытталған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нормалар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жиынтығы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соғыс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қимылдарына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қатыспайтын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қатысуды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тоқтатқан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адамдарды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қорғайды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соғыс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құралдары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әдістерін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реттейді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Құралдарға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қолданылатын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қару-жарақ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пен техника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жаста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әдістер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соғыс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жүргізудің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стратегиясына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қатысты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C746C">
        <w:rPr>
          <w:rFonts w:ascii="Times New Roman" w:hAnsi="Times New Roman"/>
          <w:color w:val="000000"/>
          <w:sz w:val="28"/>
          <w:szCs w:val="28"/>
        </w:rPr>
        <w:br/>
      </w:r>
      <w:r w:rsidRPr="00EC746C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Мүмкін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сендерге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құқықтары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саласындағы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гуманитарлық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құқықтың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арасындағы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айырмашылық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біріншісі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бейбіт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уақытта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ал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екіншісі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қарулы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қақтығыс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жағдайында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қолданылатын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сияқты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көрінер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Шынында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да,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пікір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көптеген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жылдар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бойы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кеңінен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таралған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ой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Алайда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құқықта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айырмашылық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дәл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танылады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Бүгінде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қауымдастық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құқықтары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саласындағы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міндеттемелер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адамдардың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ажырамас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құқықтарын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мойындаудан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туындағандықтан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құқықтарға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бейбіт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уақытта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да,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соғыс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уақытында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әсер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етуі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мүмкін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болғандықтан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құқықтары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саласындағы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қарулы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қақтығыс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жағдайларында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қолданыла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беретінін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кеңінен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мойындайды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қатар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құқықтары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келісім-шарттарда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қарулы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қақтығыс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қолданылмайтындығы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жерде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көрсетілмеген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Нәтижесінде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осы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құқықтық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нормалар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жиынтығы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құқықтары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саласындағы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гуманитарлық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құқық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қарулы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қақтығыс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жағдайында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міндеттемелердің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қосымша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көзі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қарастырылады</w:t>
      </w:r>
      <w:proofErr w:type="spellEnd"/>
      <w:r w:rsidRPr="00EC746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EC746C" w:rsidRDefault="00EC746C" w:rsidP="00EC74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46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Халықаралық гуманитарлық құқықтың жалпы Конвенция нормаларын келесі топтарға бөлуге болады: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•1899-1907 жылдардағы Гаага құқығы жөніндегі 4 Конвенция;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•1949 жылы қол қойылған және кеме апатынан жараланған, науқас және зардап шеккен әскери қызметшілерге, әскери тұтқындар мен бейбіт тұрғындарға қатысты 4 Женева конвенциялары; және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 xml:space="preserve">•1977 жылы қол қойылған осы Женева конвенцияларына 2 қосымша хаттама. 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хаттама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ұлт-азаттық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соғыстарына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халықтардың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нәсілшіл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режимдерге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қарсы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жүргізген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соғыстарына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қатысты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II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хаттама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ұйымдасқан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қарулы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арасындағы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ішкі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қақтығыстарға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қатысты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гуманитарлық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нақты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конвенциялар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бар.</w:t>
      </w:r>
    </w:p>
    <w:p w:rsidR="00EC746C" w:rsidRDefault="00EC746C" w:rsidP="00EC74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746C" w:rsidRDefault="00EC746C" w:rsidP="00EC74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746C" w:rsidRDefault="00EC746C" w:rsidP="00EC74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746C" w:rsidRPr="00EC746C" w:rsidRDefault="00EC746C" w:rsidP="00EC74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C746C" w:rsidRPr="00EC746C" w:rsidRDefault="00EC746C" w:rsidP="00EC746C">
      <w:pPr>
        <w:shd w:val="clear" w:color="auto" w:fill="FFFFFF"/>
        <w:spacing w:before="100" w:beforeAutospacing="1" w:after="100" w:afterAutospacing="1" w:line="240" w:lineRule="auto"/>
        <w:contextualSpacing/>
        <w:textAlignment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Халықаралық</w:t>
      </w:r>
      <w:proofErr w:type="spellEnd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гуманитарлық</w:t>
      </w:r>
      <w:proofErr w:type="spellEnd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құқықтың</w:t>
      </w:r>
      <w:proofErr w:type="spellEnd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қағидаттары</w:t>
      </w:r>
      <w:proofErr w:type="spellEnd"/>
    </w:p>
    <w:p w:rsidR="00EC746C" w:rsidRPr="00EC746C" w:rsidRDefault="00EC746C" w:rsidP="00EC746C">
      <w:pPr>
        <w:shd w:val="clear" w:color="auto" w:fill="FFFFFF"/>
        <w:spacing w:before="100" w:beforeAutospacing="1" w:after="100" w:afterAutospacing="1" w:line="240" w:lineRule="auto"/>
        <w:contextualSpacing/>
        <w:textAlignment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46C" w:rsidRDefault="00EC746C" w:rsidP="00EC746C">
      <w:pPr>
        <w:shd w:val="clear" w:color="auto" w:fill="FFFFFF"/>
        <w:spacing w:before="100" w:beforeAutospacing="1" w:after="100" w:afterAutospacing="1" w:line="240" w:lineRule="auto"/>
        <w:contextualSpacing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Әскери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қажеттілік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қағидаты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әскери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артықшылыққа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әкелетін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әрекеттерге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тыйым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салынбайды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талап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етеді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Пропорционалдылық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адамгершілік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қағидасы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екінші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жағынан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әскери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қажеттілікке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негізделмеген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әрекеттерге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тыйым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салынғанын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Айырмашылық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EC74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қағидасы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қарулы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қақтығыстағы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тараптар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әрқашан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азаматтық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тұрғындар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содырлар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азаматтық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нысандар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әскери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нысандар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айырмашылық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жасауы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керек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сәйкесінше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операцияларын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әскери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мақсаттарға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бағыттауы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керек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қарастырады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Бұл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таңдамайтын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шабуылдар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соғыс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құралдары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әдістерін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қолдануға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тыйым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салынғанын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EC746C" w:rsidRPr="00EC746C" w:rsidRDefault="00EC746C" w:rsidP="00EC746C">
      <w:pPr>
        <w:shd w:val="clear" w:color="auto" w:fill="FFFFFF"/>
        <w:spacing w:before="100" w:beforeAutospacing="1" w:after="100" w:afterAutospacing="1" w:line="240" w:lineRule="auto"/>
        <w:contextualSpacing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Гуманитарлық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құқықтарының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құқығы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арасындағы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басты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айырмашылық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болып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табылатын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айырмашылық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адамдардың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құқықтарын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қорғайтын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алға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жылжытатын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құқықтары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құқыққа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қарағанда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гуманитарлық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құқықта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заңға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пайдаланатын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материалдық-құқықтық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болу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қай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топқа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жататыны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Бұл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айырмашылық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әсіресе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әскери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іс-қимылдарын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Содырлар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жауынгерлер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берілгенге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шабуылға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ұшырауы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ал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бейбіт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тұрғындар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соғыс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қимылдарына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тікелей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қатысқан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жағдайларды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қоспағанда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шабуылдардың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нысанасына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айналмауы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керек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Бейбіт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тұрғындар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әскери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нысандар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жауынгерлерге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жасалған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шабуылдардың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күтпеген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салдарларынан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пропорционалдылық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сақтық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принциптерімен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қорғалған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746C" w:rsidRPr="00EC746C" w:rsidRDefault="00EC746C" w:rsidP="00EC746C">
      <w:pPr>
        <w:shd w:val="clear" w:color="auto" w:fill="FFFFFF"/>
        <w:spacing w:before="100" w:beforeAutospacing="1" w:after="100" w:afterAutospacing="1" w:line="240" w:lineRule="auto"/>
        <w:contextualSpacing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46C" w:rsidRPr="00EC746C" w:rsidRDefault="00EC746C" w:rsidP="00EC746C">
      <w:pPr>
        <w:shd w:val="clear" w:color="auto" w:fill="FFFFFF"/>
        <w:spacing w:before="100" w:beforeAutospacing="1" w:after="100" w:afterAutospacing="1" w:line="240" w:lineRule="auto"/>
        <w:contextualSpacing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46C" w:rsidRPr="00EC746C" w:rsidRDefault="00EC746C" w:rsidP="00EC746C">
      <w:pPr>
        <w:shd w:val="clear" w:color="auto" w:fill="FFFFFF"/>
        <w:spacing w:before="100" w:beforeAutospacing="1" w:after="100" w:afterAutospacing="1" w:line="240" w:lineRule="auto"/>
        <w:contextualSpacing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46C" w:rsidRPr="00EC746C" w:rsidRDefault="00EC746C" w:rsidP="00EC746C">
      <w:pPr>
        <w:shd w:val="clear" w:color="auto" w:fill="FFFFFF"/>
        <w:spacing w:before="100" w:beforeAutospacing="1" w:after="100" w:afterAutospacing="1" w:line="240" w:lineRule="auto"/>
        <w:contextualSpacing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Өздерің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білетіндей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құқықтары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құқықта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құқықтарын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ілгерілету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үшін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гуманитарлық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мемлекеттің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қарулы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қақтығыстар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жағдайында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бейбіт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тұрғындарды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міндеттемесін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атап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таңда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қарулы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қақтығыстардың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басым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көпшілігі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асимметриялы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яғни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ел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болып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жатыр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оларда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және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емес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субъектілер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соғысады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емес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аталатын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субъектілердің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жағында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өз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елдеріндегі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диктатура мен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тоталитарлық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режимге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қарсы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күресетін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бүлікші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азаттық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қозғалыстар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қарсылық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қозғалыстары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болуы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Сирияның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көрсеткендей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мұндай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қарсылық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қоғамдастықтың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қолдауына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болуы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Алайда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бірге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бұл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жақтың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құқықтарының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бұзылуын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жоққа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шығармайды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Сонда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туындайтын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сұрақ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егер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адам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құқығын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ресми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түрде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танылмаған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бұзса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Азаматтық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соғыс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істеу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керек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Сонымен</w:t>
      </w:r>
      <w:proofErr w:type="spellEnd"/>
      <w:proofErr w:type="gram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емес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қақтығыстарға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қатысты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азаматтық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соғыстар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бейбіт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тұрғындар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жауынгерлерге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бөлінуге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күмән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келтіреді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бұл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осындай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топтарға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бөлу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осындай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қақтығыстардың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саяси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аспектілерін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ескермейді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Азаматтар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партизандық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күрес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жүргізгенде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қай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заңды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қолданамыз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күндіз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бейбіт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азаматтар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болып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түнде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олар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тоталитарлық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үкіметке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қарсы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соғыс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қимылдарына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қатысқан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кімдерге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жатқызамыз</w:t>
      </w:r>
      <w:proofErr w:type="spellEnd"/>
      <w:r w:rsidRPr="00EC74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EC746C" w:rsidRPr="00EC746C" w:rsidRDefault="00EC746C" w:rsidP="00EC74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sectPr w:rsidR="00EC746C" w:rsidRPr="00EC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6C"/>
    <w:rsid w:val="00247BB9"/>
    <w:rsid w:val="00E92244"/>
    <w:rsid w:val="00E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D0DB2-795C-43F8-88C8-8B4D334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46C"/>
    <w:rPr>
      <w:b/>
      <w:bCs/>
    </w:rPr>
  </w:style>
  <w:style w:type="paragraph" w:styleId="a4">
    <w:name w:val="List Paragraph"/>
    <w:basedOn w:val="a"/>
    <w:uiPriority w:val="34"/>
    <w:qFormat/>
    <w:rsid w:val="00EC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5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2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3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0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2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760</Words>
  <Characters>4337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2</cp:revision>
  <dcterms:created xsi:type="dcterms:W3CDTF">2024-01-19T07:26:00Z</dcterms:created>
  <dcterms:modified xsi:type="dcterms:W3CDTF">2024-01-19T07:33:00Z</dcterms:modified>
</cp:coreProperties>
</file>